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5F7A" w:rsidRPr="00525F7A" w:rsidRDefault="00525F7A" w:rsidP="00525F7A">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525F7A">
        <w:rPr>
          <w:rFonts w:ascii="Times New Roman" w:eastAsia="Times New Roman" w:hAnsi="Times New Roman" w:cs="Times New Roman"/>
          <w:b/>
          <w:bCs/>
          <w:sz w:val="36"/>
          <w:szCs w:val="36"/>
          <w:lang w:eastAsia="fr-FR"/>
        </w:rPr>
        <w:t>Questions de compréhension</w:t>
      </w:r>
    </w:p>
    <w:p w:rsidR="00525F7A" w:rsidRPr="00525F7A" w:rsidRDefault="00525F7A" w:rsidP="00525F7A">
      <w:pPr>
        <w:numPr>
          <w:ilvl w:val="0"/>
          <w:numId w:val="19"/>
        </w:numPr>
        <w:spacing w:before="100" w:beforeAutospacing="1" w:after="100" w:afterAutospacing="1" w:line="240" w:lineRule="auto"/>
        <w:rPr>
          <w:rFonts w:ascii="Times New Roman" w:eastAsia="Times New Roman" w:hAnsi="Times New Roman" w:cs="Times New Roman"/>
          <w:sz w:val="24"/>
          <w:szCs w:val="24"/>
          <w:lang w:eastAsia="fr-FR"/>
        </w:rPr>
      </w:pPr>
      <w:r w:rsidRPr="00525F7A">
        <w:rPr>
          <w:rFonts w:ascii="Times New Roman" w:eastAsia="Times New Roman" w:hAnsi="Times New Roman" w:cs="Times New Roman"/>
          <w:sz w:val="24"/>
          <w:szCs w:val="24"/>
          <w:lang w:eastAsia="fr-FR"/>
        </w:rPr>
        <w:t>Quelle est l’importance de la lumière et de la couleur dans le merchandising émotionnel en pharmacie ?</w:t>
      </w:r>
    </w:p>
    <w:p w:rsidR="00525F7A" w:rsidRPr="00525F7A" w:rsidRDefault="00525F7A" w:rsidP="00525F7A">
      <w:pPr>
        <w:numPr>
          <w:ilvl w:val="0"/>
          <w:numId w:val="19"/>
        </w:numPr>
        <w:spacing w:before="100" w:beforeAutospacing="1" w:after="100" w:afterAutospacing="1" w:line="240" w:lineRule="auto"/>
        <w:rPr>
          <w:rFonts w:ascii="Times New Roman" w:eastAsia="Times New Roman" w:hAnsi="Times New Roman" w:cs="Times New Roman"/>
          <w:sz w:val="24"/>
          <w:szCs w:val="24"/>
          <w:lang w:eastAsia="fr-FR"/>
        </w:rPr>
      </w:pPr>
      <w:r w:rsidRPr="00525F7A">
        <w:rPr>
          <w:rFonts w:ascii="Times New Roman" w:eastAsia="Times New Roman" w:hAnsi="Times New Roman" w:cs="Times New Roman"/>
          <w:sz w:val="24"/>
          <w:szCs w:val="24"/>
          <w:lang w:eastAsia="fr-FR"/>
        </w:rPr>
        <w:t>Quels principes doivent être respectés pour une signalétique efficace et lisible dans l’officine ?</w:t>
      </w:r>
    </w:p>
    <w:p w:rsidR="00525F7A" w:rsidRPr="00525F7A" w:rsidRDefault="00525F7A" w:rsidP="00525F7A">
      <w:pPr>
        <w:numPr>
          <w:ilvl w:val="0"/>
          <w:numId w:val="19"/>
        </w:numPr>
        <w:spacing w:before="100" w:beforeAutospacing="1" w:after="100" w:afterAutospacing="1" w:line="240" w:lineRule="auto"/>
        <w:rPr>
          <w:rFonts w:ascii="Times New Roman" w:eastAsia="Times New Roman" w:hAnsi="Times New Roman" w:cs="Times New Roman"/>
          <w:sz w:val="24"/>
          <w:szCs w:val="24"/>
          <w:lang w:eastAsia="fr-FR"/>
        </w:rPr>
      </w:pPr>
      <w:r w:rsidRPr="00525F7A">
        <w:rPr>
          <w:rFonts w:ascii="Times New Roman" w:eastAsia="Times New Roman" w:hAnsi="Times New Roman" w:cs="Times New Roman"/>
          <w:sz w:val="24"/>
          <w:szCs w:val="24"/>
          <w:lang w:eastAsia="fr-FR"/>
        </w:rPr>
        <w:t>Quels leviers sensoriels peuvent être utilisés pour transformer la visite en une expérience positive pour le patient ?</w:t>
      </w:r>
    </w:p>
    <w:p w:rsidR="00525F7A" w:rsidRPr="00525F7A" w:rsidRDefault="00525F7A" w:rsidP="00525F7A">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525F7A">
        <w:rPr>
          <w:rFonts w:ascii="Times New Roman" w:eastAsia="Times New Roman" w:hAnsi="Times New Roman" w:cs="Times New Roman"/>
          <w:b/>
          <w:bCs/>
          <w:sz w:val="36"/>
          <w:szCs w:val="36"/>
          <w:lang w:eastAsia="fr-FR"/>
        </w:rPr>
        <w:t>Quizz (QCM)</w:t>
      </w:r>
    </w:p>
    <w:p w:rsidR="00525F7A" w:rsidRPr="00525F7A" w:rsidRDefault="00525F7A" w:rsidP="00525F7A">
      <w:pPr>
        <w:spacing w:before="100" w:beforeAutospacing="1" w:after="100" w:afterAutospacing="1" w:line="240" w:lineRule="auto"/>
        <w:rPr>
          <w:rFonts w:ascii="Times New Roman" w:eastAsia="Times New Roman" w:hAnsi="Times New Roman" w:cs="Times New Roman"/>
          <w:sz w:val="24"/>
          <w:szCs w:val="24"/>
          <w:lang w:eastAsia="fr-FR"/>
        </w:rPr>
      </w:pPr>
      <w:r w:rsidRPr="00525F7A">
        <w:rPr>
          <w:rFonts w:ascii="Times New Roman" w:eastAsia="Times New Roman" w:hAnsi="Times New Roman" w:cs="Times New Roman"/>
          <w:b/>
          <w:bCs/>
          <w:sz w:val="24"/>
          <w:szCs w:val="24"/>
          <w:lang w:eastAsia="fr-FR"/>
        </w:rPr>
        <w:t>QCM 1 : Lumière et couleur</w:t>
      </w:r>
      <w:r w:rsidRPr="00525F7A">
        <w:rPr>
          <w:rFonts w:ascii="Times New Roman" w:eastAsia="Times New Roman" w:hAnsi="Times New Roman" w:cs="Times New Roman"/>
          <w:sz w:val="24"/>
          <w:szCs w:val="24"/>
          <w:lang w:eastAsia="fr-FR"/>
        </w:rPr>
        <w:br/>
        <w:t>Dans le merchandising émotionnel :</w:t>
      </w:r>
      <w:r w:rsidRPr="00525F7A">
        <w:rPr>
          <w:rFonts w:ascii="Times New Roman" w:eastAsia="Times New Roman" w:hAnsi="Times New Roman" w:cs="Times New Roman"/>
          <w:sz w:val="24"/>
          <w:szCs w:val="24"/>
          <w:lang w:eastAsia="fr-FR"/>
        </w:rPr>
        <w:br/>
        <w:t>A) La lumière chaude est adaptée aux zones médicales et techniques</w:t>
      </w:r>
      <w:r w:rsidRPr="00525F7A">
        <w:rPr>
          <w:rFonts w:ascii="Times New Roman" w:eastAsia="Times New Roman" w:hAnsi="Times New Roman" w:cs="Times New Roman"/>
          <w:sz w:val="24"/>
          <w:szCs w:val="24"/>
          <w:lang w:eastAsia="fr-FR"/>
        </w:rPr>
        <w:br/>
        <w:t>B) La lumière froide évoque la technicité et la rigueur</w:t>
      </w:r>
      <w:r w:rsidRPr="00525F7A">
        <w:rPr>
          <w:rFonts w:ascii="Times New Roman" w:eastAsia="Times New Roman" w:hAnsi="Times New Roman" w:cs="Times New Roman"/>
          <w:sz w:val="24"/>
          <w:szCs w:val="24"/>
          <w:lang w:eastAsia="fr-FR"/>
        </w:rPr>
        <w:br/>
        <w:t>C) Le bleu est associé à l’hygiène</w:t>
      </w:r>
      <w:r w:rsidRPr="00525F7A">
        <w:rPr>
          <w:rFonts w:ascii="Times New Roman" w:eastAsia="Times New Roman" w:hAnsi="Times New Roman" w:cs="Times New Roman"/>
          <w:sz w:val="24"/>
          <w:szCs w:val="24"/>
          <w:lang w:eastAsia="fr-FR"/>
        </w:rPr>
        <w:br/>
        <w:t>D) Les couleurs agressives stimulent toujours positivement le patient</w:t>
      </w:r>
    </w:p>
    <w:p w:rsidR="00525F7A" w:rsidRPr="00525F7A" w:rsidRDefault="00525F7A" w:rsidP="00525F7A">
      <w:pPr>
        <w:spacing w:before="100" w:beforeAutospacing="1" w:after="100" w:afterAutospacing="1" w:line="240" w:lineRule="auto"/>
        <w:rPr>
          <w:rFonts w:ascii="Times New Roman" w:eastAsia="Times New Roman" w:hAnsi="Times New Roman" w:cs="Times New Roman"/>
          <w:sz w:val="24"/>
          <w:szCs w:val="24"/>
          <w:lang w:eastAsia="fr-FR"/>
        </w:rPr>
      </w:pPr>
      <w:r w:rsidRPr="00525F7A">
        <w:rPr>
          <w:rFonts w:ascii="Times New Roman" w:eastAsia="Times New Roman" w:hAnsi="Times New Roman" w:cs="Times New Roman"/>
          <w:b/>
          <w:bCs/>
          <w:sz w:val="24"/>
          <w:szCs w:val="24"/>
          <w:lang w:eastAsia="fr-FR"/>
        </w:rPr>
        <w:t>QCM 2 : Signalétique</w:t>
      </w:r>
      <w:r w:rsidRPr="00525F7A">
        <w:rPr>
          <w:rFonts w:ascii="Times New Roman" w:eastAsia="Times New Roman" w:hAnsi="Times New Roman" w:cs="Times New Roman"/>
          <w:sz w:val="24"/>
          <w:szCs w:val="24"/>
          <w:lang w:eastAsia="fr-FR"/>
        </w:rPr>
        <w:br/>
        <w:t>Pour une signalétique efficace, il est recommandé de :</w:t>
      </w:r>
      <w:r w:rsidRPr="00525F7A">
        <w:rPr>
          <w:rFonts w:ascii="Times New Roman" w:eastAsia="Times New Roman" w:hAnsi="Times New Roman" w:cs="Times New Roman"/>
          <w:sz w:val="24"/>
          <w:szCs w:val="24"/>
          <w:lang w:eastAsia="fr-FR"/>
        </w:rPr>
        <w:br/>
        <w:t>A) Utiliser des panneaux visibles et une police lisible</w:t>
      </w:r>
      <w:r w:rsidRPr="00525F7A">
        <w:rPr>
          <w:rFonts w:ascii="Times New Roman" w:eastAsia="Times New Roman" w:hAnsi="Times New Roman" w:cs="Times New Roman"/>
          <w:sz w:val="24"/>
          <w:szCs w:val="24"/>
          <w:lang w:eastAsia="fr-FR"/>
        </w:rPr>
        <w:br/>
        <w:t>B) Créer des repères patients par univers ou besoins</w:t>
      </w:r>
      <w:r w:rsidRPr="00525F7A">
        <w:rPr>
          <w:rFonts w:ascii="Times New Roman" w:eastAsia="Times New Roman" w:hAnsi="Times New Roman" w:cs="Times New Roman"/>
          <w:sz w:val="24"/>
          <w:szCs w:val="24"/>
          <w:lang w:eastAsia="fr-FR"/>
        </w:rPr>
        <w:br/>
        <w:t>C) Multiplier les affichages et PLV pour maximiser l’information</w:t>
      </w:r>
      <w:r w:rsidRPr="00525F7A">
        <w:rPr>
          <w:rFonts w:ascii="Times New Roman" w:eastAsia="Times New Roman" w:hAnsi="Times New Roman" w:cs="Times New Roman"/>
          <w:sz w:val="24"/>
          <w:szCs w:val="24"/>
          <w:lang w:eastAsia="fr-FR"/>
        </w:rPr>
        <w:br/>
        <w:t>D) Uniformiser les codes visuels pour faciliter l’orientation</w:t>
      </w:r>
    </w:p>
    <w:p w:rsidR="00525F7A" w:rsidRPr="00525F7A" w:rsidRDefault="00525F7A" w:rsidP="00525F7A">
      <w:pPr>
        <w:spacing w:before="100" w:beforeAutospacing="1" w:after="100" w:afterAutospacing="1" w:line="240" w:lineRule="auto"/>
        <w:rPr>
          <w:rFonts w:ascii="Times New Roman" w:eastAsia="Times New Roman" w:hAnsi="Times New Roman" w:cs="Times New Roman"/>
          <w:sz w:val="24"/>
          <w:szCs w:val="24"/>
          <w:lang w:eastAsia="fr-FR"/>
        </w:rPr>
      </w:pPr>
      <w:r w:rsidRPr="00525F7A">
        <w:rPr>
          <w:rFonts w:ascii="Times New Roman" w:eastAsia="Times New Roman" w:hAnsi="Times New Roman" w:cs="Times New Roman"/>
          <w:b/>
          <w:bCs/>
          <w:sz w:val="24"/>
          <w:szCs w:val="24"/>
          <w:lang w:eastAsia="fr-FR"/>
        </w:rPr>
        <w:t>QCM 3 : Merchandising sensoriel</w:t>
      </w:r>
      <w:r w:rsidRPr="00525F7A">
        <w:rPr>
          <w:rFonts w:ascii="Times New Roman" w:eastAsia="Times New Roman" w:hAnsi="Times New Roman" w:cs="Times New Roman"/>
          <w:sz w:val="24"/>
          <w:szCs w:val="24"/>
          <w:lang w:eastAsia="fr-FR"/>
        </w:rPr>
        <w:br/>
        <w:t>Les leviers sensoriels possibles en officine incluent :</w:t>
      </w:r>
      <w:r w:rsidRPr="00525F7A">
        <w:rPr>
          <w:rFonts w:ascii="Times New Roman" w:eastAsia="Times New Roman" w:hAnsi="Times New Roman" w:cs="Times New Roman"/>
          <w:sz w:val="24"/>
          <w:szCs w:val="24"/>
          <w:lang w:eastAsia="fr-FR"/>
        </w:rPr>
        <w:br/>
        <w:t>A) Diffuser des odeurs légères et cohérentes avec l’univers</w:t>
      </w:r>
      <w:r w:rsidRPr="00525F7A">
        <w:rPr>
          <w:rFonts w:ascii="Times New Roman" w:eastAsia="Times New Roman" w:hAnsi="Times New Roman" w:cs="Times New Roman"/>
          <w:sz w:val="24"/>
          <w:szCs w:val="24"/>
          <w:lang w:eastAsia="fr-FR"/>
        </w:rPr>
        <w:br/>
        <w:t>B) Diffuser une musique douce et apaisante</w:t>
      </w:r>
      <w:r w:rsidRPr="00525F7A">
        <w:rPr>
          <w:rFonts w:ascii="Times New Roman" w:eastAsia="Times New Roman" w:hAnsi="Times New Roman" w:cs="Times New Roman"/>
          <w:sz w:val="24"/>
          <w:szCs w:val="24"/>
          <w:lang w:eastAsia="fr-FR"/>
        </w:rPr>
        <w:br/>
        <w:t>C) Permettre au patient de tester certains produits ou dispositifs médicaux</w:t>
      </w:r>
      <w:r w:rsidRPr="00525F7A">
        <w:rPr>
          <w:rFonts w:ascii="Times New Roman" w:eastAsia="Times New Roman" w:hAnsi="Times New Roman" w:cs="Times New Roman"/>
          <w:sz w:val="24"/>
          <w:szCs w:val="24"/>
          <w:lang w:eastAsia="fr-FR"/>
        </w:rPr>
        <w:br/>
        <w:t>D) Utiliser des éléments trop marquants pour attirer l’attention</w:t>
      </w:r>
    </w:p>
    <w:p w:rsidR="00525F7A" w:rsidRPr="00525F7A" w:rsidRDefault="00525F7A" w:rsidP="00525F7A">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525F7A">
        <w:rPr>
          <w:rFonts w:ascii="Times New Roman" w:eastAsia="Times New Roman" w:hAnsi="Times New Roman" w:cs="Times New Roman"/>
          <w:b/>
          <w:bCs/>
          <w:sz w:val="36"/>
          <w:szCs w:val="36"/>
          <w:lang w:eastAsia="fr-FR"/>
        </w:rPr>
        <w:t>Réponses et justifications</w:t>
      </w:r>
    </w:p>
    <w:p w:rsidR="00525F7A" w:rsidRPr="00525F7A" w:rsidRDefault="00525F7A" w:rsidP="00525F7A">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525F7A">
        <w:rPr>
          <w:rFonts w:ascii="Times New Roman" w:eastAsia="Times New Roman" w:hAnsi="Times New Roman" w:cs="Times New Roman"/>
          <w:b/>
          <w:bCs/>
          <w:sz w:val="27"/>
          <w:szCs w:val="27"/>
          <w:lang w:eastAsia="fr-FR"/>
        </w:rPr>
        <w:t>Questions de compréhension</w:t>
      </w:r>
    </w:p>
    <w:p w:rsidR="00525F7A" w:rsidRPr="00525F7A" w:rsidRDefault="00525F7A" w:rsidP="00525F7A">
      <w:pPr>
        <w:numPr>
          <w:ilvl w:val="0"/>
          <w:numId w:val="20"/>
        </w:numPr>
        <w:spacing w:before="100" w:beforeAutospacing="1" w:after="100" w:afterAutospacing="1" w:line="240" w:lineRule="auto"/>
        <w:rPr>
          <w:rFonts w:ascii="Times New Roman" w:eastAsia="Times New Roman" w:hAnsi="Times New Roman" w:cs="Times New Roman"/>
          <w:sz w:val="24"/>
          <w:szCs w:val="24"/>
          <w:lang w:eastAsia="fr-FR"/>
        </w:rPr>
      </w:pPr>
      <w:r w:rsidRPr="00525F7A">
        <w:rPr>
          <w:rFonts w:ascii="Times New Roman" w:eastAsia="Times New Roman" w:hAnsi="Times New Roman" w:cs="Times New Roman"/>
          <w:b/>
          <w:bCs/>
          <w:sz w:val="24"/>
          <w:szCs w:val="24"/>
          <w:lang w:eastAsia="fr-FR"/>
        </w:rPr>
        <w:t>Réponse :</w:t>
      </w:r>
      <w:r w:rsidRPr="00525F7A">
        <w:rPr>
          <w:rFonts w:ascii="Times New Roman" w:eastAsia="Times New Roman" w:hAnsi="Times New Roman" w:cs="Times New Roman"/>
          <w:sz w:val="24"/>
          <w:szCs w:val="24"/>
          <w:lang w:eastAsia="fr-FR"/>
        </w:rPr>
        <w:t xml:space="preserve"> La lumière et la couleur orientent le comportement du patient et renforcent l’identité de l’officine. La lumière chaude crée une ambiance conviviale et chaleureuse, la lumière froide évoque la technicité. Les couleurs segmentent les univers et facilitent l’orientation.</w:t>
      </w:r>
      <w:r w:rsidRPr="00525F7A">
        <w:rPr>
          <w:rFonts w:ascii="Times New Roman" w:eastAsia="Times New Roman" w:hAnsi="Times New Roman" w:cs="Times New Roman"/>
          <w:sz w:val="24"/>
          <w:szCs w:val="24"/>
          <w:lang w:eastAsia="fr-FR"/>
        </w:rPr>
        <w:br/>
      </w:r>
      <w:r w:rsidRPr="00525F7A">
        <w:rPr>
          <w:rFonts w:ascii="Times New Roman" w:eastAsia="Times New Roman" w:hAnsi="Times New Roman" w:cs="Times New Roman"/>
          <w:b/>
          <w:bCs/>
          <w:sz w:val="24"/>
          <w:szCs w:val="24"/>
          <w:lang w:eastAsia="fr-FR"/>
        </w:rPr>
        <w:t>Justification :</w:t>
      </w:r>
      <w:r w:rsidRPr="00525F7A">
        <w:rPr>
          <w:rFonts w:ascii="Times New Roman" w:eastAsia="Times New Roman" w:hAnsi="Times New Roman" w:cs="Times New Roman"/>
          <w:sz w:val="24"/>
          <w:szCs w:val="24"/>
          <w:lang w:eastAsia="fr-FR"/>
        </w:rPr>
        <w:t xml:space="preserve"> Une bonne ambiance visuelle stimule la curiosité, facilite la mémorisation et renforce la confiance.</w:t>
      </w:r>
    </w:p>
    <w:p w:rsidR="00525F7A" w:rsidRPr="00525F7A" w:rsidRDefault="00525F7A" w:rsidP="00525F7A">
      <w:pPr>
        <w:numPr>
          <w:ilvl w:val="0"/>
          <w:numId w:val="20"/>
        </w:numPr>
        <w:spacing w:before="100" w:beforeAutospacing="1" w:after="100" w:afterAutospacing="1" w:line="240" w:lineRule="auto"/>
        <w:rPr>
          <w:rFonts w:ascii="Times New Roman" w:eastAsia="Times New Roman" w:hAnsi="Times New Roman" w:cs="Times New Roman"/>
          <w:sz w:val="24"/>
          <w:szCs w:val="24"/>
          <w:lang w:eastAsia="fr-FR"/>
        </w:rPr>
      </w:pPr>
      <w:r w:rsidRPr="00525F7A">
        <w:rPr>
          <w:rFonts w:ascii="Times New Roman" w:eastAsia="Times New Roman" w:hAnsi="Times New Roman" w:cs="Times New Roman"/>
          <w:b/>
          <w:bCs/>
          <w:sz w:val="24"/>
          <w:szCs w:val="24"/>
          <w:lang w:eastAsia="fr-FR"/>
        </w:rPr>
        <w:t>Réponse :</w:t>
      </w:r>
      <w:r w:rsidRPr="00525F7A">
        <w:rPr>
          <w:rFonts w:ascii="Times New Roman" w:eastAsia="Times New Roman" w:hAnsi="Times New Roman" w:cs="Times New Roman"/>
          <w:sz w:val="24"/>
          <w:szCs w:val="24"/>
          <w:lang w:eastAsia="fr-FR"/>
        </w:rPr>
        <w:t xml:space="preserve"> Principes à respecter : panneaux visibles, police lisible, iconographie simple et cohérente, limiter la surabondance d’affiches/PLV, créer des repères patients, uniformiser les codes visuels.</w:t>
      </w:r>
      <w:r w:rsidRPr="00525F7A">
        <w:rPr>
          <w:rFonts w:ascii="Times New Roman" w:eastAsia="Times New Roman" w:hAnsi="Times New Roman" w:cs="Times New Roman"/>
          <w:sz w:val="24"/>
          <w:szCs w:val="24"/>
          <w:lang w:eastAsia="fr-FR"/>
        </w:rPr>
        <w:br/>
      </w:r>
      <w:r w:rsidRPr="00525F7A">
        <w:rPr>
          <w:rFonts w:ascii="Times New Roman" w:eastAsia="Times New Roman" w:hAnsi="Times New Roman" w:cs="Times New Roman"/>
          <w:b/>
          <w:bCs/>
          <w:sz w:val="24"/>
          <w:szCs w:val="24"/>
          <w:lang w:eastAsia="fr-FR"/>
        </w:rPr>
        <w:t>Justification :</w:t>
      </w:r>
      <w:r w:rsidRPr="00525F7A">
        <w:rPr>
          <w:rFonts w:ascii="Times New Roman" w:eastAsia="Times New Roman" w:hAnsi="Times New Roman" w:cs="Times New Roman"/>
          <w:sz w:val="24"/>
          <w:szCs w:val="24"/>
          <w:lang w:eastAsia="fr-FR"/>
        </w:rPr>
        <w:t xml:space="preserve"> Une signalétique claire guide le patient, facilite le repérage des produits et renforce la lisibilité du rayon.</w:t>
      </w:r>
    </w:p>
    <w:p w:rsidR="00525F7A" w:rsidRPr="00525F7A" w:rsidRDefault="00525F7A" w:rsidP="00525F7A">
      <w:pPr>
        <w:numPr>
          <w:ilvl w:val="0"/>
          <w:numId w:val="20"/>
        </w:numPr>
        <w:spacing w:before="100" w:beforeAutospacing="1" w:after="100" w:afterAutospacing="1" w:line="240" w:lineRule="auto"/>
        <w:rPr>
          <w:rFonts w:ascii="Times New Roman" w:eastAsia="Times New Roman" w:hAnsi="Times New Roman" w:cs="Times New Roman"/>
          <w:sz w:val="24"/>
          <w:szCs w:val="24"/>
          <w:lang w:eastAsia="fr-FR"/>
        </w:rPr>
      </w:pPr>
      <w:r w:rsidRPr="00525F7A">
        <w:rPr>
          <w:rFonts w:ascii="Times New Roman" w:eastAsia="Times New Roman" w:hAnsi="Times New Roman" w:cs="Times New Roman"/>
          <w:b/>
          <w:bCs/>
          <w:sz w:val="24"/>
          <w:szCs w:val="24"/>
          <w:lang w:eastAsia="fr-FR"/>
        </w:rPr>
        <w:t>Réponse :</w:t>
      </w:r>
      <w:r w:rsidRPr="00525F7A">
        <w:rPr>
          <w:rFonts w:ascii="Times New Roman" w:eastAsia="Times New Roman" w:hAnsi="Times New Roman" w:cs="Times New Roman"/>
          <w:sz w:val="24"/>
          <w:szCs w:val="24"/>
          <w:lang w:eastAsia="fr-FR"/>
        </w:rPr>
        <w:t xml:space="preserve"> Les leviers sensoriels incluent : odorat (diffuser des odeurs légères), ouïe (musique douce), et toucher (tester les produits ou dispositifs).</w:t>
      </w:r>
      <w:r w:rsidRPr="00525F7A">
        <w:rPr>
          <w:rFonts w:ascii="Times New Roman" w:eastAsia="Times New Roman" w:hAnsi="Times New Roman" w:cs="Times New Roman"/>
          <w:sz w:val="24"/>
          <w:szCs w:val="24"/>
          <w:lang w:eastAsia="fr-FR"/>
        </w:rPr>
        <w:br/>
      </w:r>
      <w:r w:rsidRPr="00525F7A">
        <w:rPr>
          <w:rFonts w:ascii="Times New Roman" w:eastAsia="Times New Roman" w:hAnsi="Times New Roman" w:cs="Times New Roman"/>
          <w:b/>
          <w:bCs/>
          <w:sz w:val="24"/>
          <w:szCs w:val="24"/>
          <w:lang w:eastAsia="fr-FR"/>
        </w:rPr>
        <w:lastRenderedPageBreak/>
        <w:t>Justification :</w:t>
      </w:r>
      <w:r w:rsidRPr="00525F7A">
        <w:rPr>
          <w:rFonts w:ascii="Times New Roman" w:eastAsia="Times New Roman" w:hAnsi="Times New Roman" w:cs="Times New Roman"/>
          <w:sz w:val="24"/>
          <w:szCs w:val="24"/>
          <w:lang w:eastAsia="fr-FR"/>
        </w:rPr>
        <w:t xml:space="preserve"> Ces éléments améliorent l’expérience client, créent un climat de confiance et favorisent la fidélisation et la vente additionnelle.</w:t>
      </w:r>
    </w:p>
    <w:p w:rsidR="00525F7A" w:rsidRPr="00525F7A" w:rsidRDefault="00525F7A" w:rsidP="00525F7A">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bookmarkStart w:id="0" w:name="_GoBack"/>
      <w:bookmarkEnd w:id="0"/>
      <w:r w:rsidRPr="00525F7A">
        <w:rPr>
          <w:rFonts w:ascii="Times New Roman" w:eastAsia="Times New Roman" w:hAnsi="Times New Roman" w:cs="Times New Roman"/>
          <w:b/>
          <w:bCs/>
          <w:sz w:val="27"/>
          <w:szCs w:val="27"/>
          <w:lang w:eastAsia="fr-FR"/>
        </w:rPr>
        <w:t>QCM</w:t>
      </w:r>
    </w:p>
    <w:p w:rsidR="00525F7A" w:rsidRPr="00525F7A" w:rsidRDefault="00525F7A" w:rsidP="00525F7A">
      <w:pPr>
        <w:spacing w:before="100" w:beforeAutospacing="1" w:after="100" w:afterAutospacing="1" w:line="240" w:lineRule="auto"/>
        <w:rPr>
          <w:rFonts w:ascii="Times New Roman" w:eastAsia="Times New Roman" w:hAnsi="Times New Roman" w:cs="Times New Roman"/>
          <w:sz w:val="24"/>
          <w:szCs w:val="24"/>
          <w:lang w:eastAsia="fr-FR"/>
        </w:rPr>
      </w:pPr>
      <w:r w:rsidRPr="00525F7A">
        <w:rPr>
          <w:rFonts w:ascii="Times New Roman" w:eastAsia="Times New Roman" w:hAnsi="Times New Roman" w:cs="Times New Roman"/>
          <w:b/>
          <w:bCs/>
          <w:sz w:val="24"/>
          <w:szCs w:val="24"/>
          <w:lang w:eastAsia="fr-FR"/>
        </w:rPr>
        <w:t>QCM 1 :</w:t>
      </w:r>
      <w:r w:rsidRPr="00525F7A">
        <w:rPr>
          <w:rFonts w:ascii="Times New Roman" w:eastAsia="Times New Roman" w:hAnsi="Times New Roman" w:cs="Times New Roman"/>
          <w:sz w:val="24"/>
          <w:szCs w:val="24"/>
          <w:lang w:eastAsia="fr-FR"/>
        </w:rPr>
        <w:t xml:space="preserve"> B, C ✅</w:t>
      </w:r>
      <w:r w:rsidRPr="00525F7A">
        <w:rPr>
          <w:rFonts w:ascii="Times New Roman" w:eastAsia="Times New Roman" w:hAnsi="Times New Roman" w:cs="Times New Roman"/>
          <w:sz w:val="24"/>
          <w:szCs w:val="24"/>
          <w:lang w:eastAsia="fr-FR"/>
        </w:rPr>
        <w:br/>
      </w:r>
      <w:r w:rsidRPr="00525F7A">
        <w:rPr>
          <w:rFonts w:ascii="Times New Roman" w:eastAsia="Times New Roman" w:hAnsi="Times New Roman" w:cs="Times New Roman"/>
          <w:b/>
          <w:bCs/>
          <w:sz w:val="24"/>
          <w:szCs w:val="24"/>
          <w:lang w:eastAsia="fr-FR"/>
        </w:rPr>
        <w:t>Justification :</w:t>
      </w:r>
      <w:r w:rsidRPr="00525F7A">
        <w:rPr>
          <w:rFonts w:ascii="Times New Roman" w:eastAsia="Times New Roman" w:hAnsi="Times New Roman" w:cs="Times New Roman"/>
          <w:sz w:val="24"/>
          <w:szCs w:val="24"/>
          <w:lang w:eastAsia="fr-FR"/>
        </w:rPr>
        <w:t xml:space="preserve"> La lumière froide évoque la technicité (B), le bleu est associé à l’hygiène (C). La lumière chaude (A) est plutôt pour les zones </w:t>
      </w:r>
      <w:proofErr w:type="spellStart"/>
      <w:r w:rsidRPr="00525F7A">
        <w:rPr>
          <w:rFonts w:ascii="Times New Roman" w:eastAsia="Times New Roman" w:hAnsi="Times New Roman" w:cs="Times New Roman"/>
          <w:sz w:val="24"/>
          <w:szCs w:val="24"/>
          <w:lang w:eastAsia="fr-FR"/>
        </w:rPr>
        <w:t>dermocosmétiques</w:t>
      </w:r>
      <w:proofErr w:type="spellEnd"/>
      <w:r w:rsidRPr="00525F7A">
        <w:rPr>
          <w:rFonts w:ascii="Times New Roman" w:eastAsia="Times New Roman" w:hAnsi="Times New Roman" w:cs="Times New Roman"/>
          <w:sz w:val="24"/>
          <w:szCs w:val="24"/>
          <w:lang w:eastAsia="fr-FR"/>
        </w:rPr>
        <w:t xml:space="preserve"> et bien-être. Les couleurs agressives (D) peuvent générer du stress, pas toujours </w:t>
      </w:r>
      <w:proofErr w:type="gramStart"/>
      <w:r w:rsidRPr="00525F7A">
        <w:rPr>
          <w:rFonts w:ascii="Times New Roman" w:eastAsia="Times New Roman" w:hAnsi="Times New Roman" w:cs="Times New Roman"/>
          <w:sz w:val="24"/>
          <w:szCs w:val="24"/>
          <w:lang w:eastAsia="fr-FR"/>
        </w:rPr>
        <w:t>stimuler</w:t>
      </w:r>
      <w:proofErr w:type="gramEnd"/>
      <w:r w:rsidRPr="00525F7A">
        <w:rPr>
          <w:rFonts w:ascii="Times New Roman" w:eastAsia="Times New Roman" w:hAnsi="Times New Roman" w:cs="Times New Roman"/>
          <w:sz w:val="24"/>
          <w:szCs w:val="24"/>
          <w:lang w:eastAsia="fr-FR"/>
        </w:rPr>
        <w:t xml:space="preserve"> positivement.</w:t>
      </w:r>
    </w:p>
    <w:p w:rsidR="00525F7A" w:rsidRPr="00525F7A" w:rsidRDefault="00525F7A" w:rsidP="00525F7A">
      <w:pPr>
        <w:spacing w:before="100" w:beforeAutospacing="1" w:after="100" w:afterAutospacing="1" w:line="240" w:lineRule="auto"/>
        <w:rPr>
          <w:rFonts w:ascii="Times New Roman" w:eastAsia="Times New Roman" w:hAnsi="Times New Roman" w:cs="Times New Roman"/>
          <w:sz w:val="24"/>
          <w:szCs w:val="24"/>
          <w:lang w:eastAsia="fr-FR"/>
        </w:rPr>
      </w:pPr>
      <w:r w:rsidRPr="00525F7A">
        <w:rPr>
          <w:rFonts w:ascii="Times New Roman" w:eastAsia="Times New Roman" w:hAnsi="Times New Roman" w:cs="Times New Roman"/>
          <w:b/>
          <w:bCs/>
          <w:sz w:val="24"/>
          <w:szCs w:val="24"/>
          <w:lang w:eastAsia="fr-FR"/>
        </w:rPr>
        <w:t>QCM 2 :</w:t>
      </w:r>
      <w:r w:rsidRPr="00525F7A">
        <w:rPr>
          <w:rFonts w:ascii="Times New Roman" w:eastAsia="Times New Roman" w:hAnsi="Times New Roman" w:cs="Times New Roman"/>
          <w:sz w:val="24"/>
          <w:szCs w:val="24"/>
          <w:lang w:eastAsia="fr-FR"/>
        </w:rPr>
        <w:t xml:space="preserve"> A, B, D ✅</w:t>
      </w:r>
      <w:r w:rsidRPr="00525F7A">
        <w:rPr>
          <w:rFonts w:ascii="Times New Roman" w:eastAsia="Times New Roman" w:hAnsi="Times New Roman" w:cs="Times New Roman"/>
          <w:sz w:val="24"/>
          <w:szCs w:val="24"/>
          <w:lang w:eastAsia="fr-FR"/>
        </w:rPr>
        <w:br/>
      </w:r>
      <w:r w:rsidRPr="00525F7A">
        <w:rPr>
          <w:rFonts w:ascii="Times New Roman" w:eastAsia="Times New Roman" w:hAnsi="Times New Roman" w:cs="Times New Roman"/>
          <w:b/>
          <w:bCs/>
          <w:sz w:val="24"/>
          <w:szCs w:val="24"/>
          <w:lang w:eastAsia="fr-FR"/>
        </w:rPr>
        <w:t>Justification :</w:t>
      </w:r>
      <w:r w:rsidRPr="00525F7A">
        <w:rPr>
          <w:rFonts w:ascii="Times New Roman" w:eastAsia="Times New Roman" w:hAnsi="Times New Roman" w:cs="Times New Roman"/>
          <w:sz w:val="24"/>
          <w:szCs w:val="24"/>
          <w:lang w:eastAsia="fr-FR"/>
        </w:rPr>
        <w:t xml:space="preserve"> Panneaux visibles et police lisible (A), repères patients (B), et codes visuels uniformes (D) améliorent l’orientation et la lisibilité. Multiplier les PLV (C) crée de la confusion.</w:t>
      </w:r>
    </w:p>
    <w:p w:rsidR="00525F7A" w:rsidRPr="00525F7A" w:rsidRDefault="00525F7A" w:rsidP="00525F7A">
      <w:pPr>
        <w:spacing w:before="100" w:beforeAutospacing="1" w:after="100" w:afterAutospacing="1" w:line="240" w:lineRule="auto"/>
        <w:rPr>
          <w:rFonts w:ascii="Times New Roman" w:eastAsia="Times New Roman" w:hAnsi="Times New Roman" w:cs="Times New Roman"/>
          <w:sz w:val="24"/>
          <w:szCs w:val="24"/>
          <w:lang w:eastAsia="fr-FR"/>
        </w:rPr>
      </w:pPr>
      <w:r w:rsidRPr="00525F7A">
        <w:rPr>
          <w:rFonts w:ascii="Times New Roman" w:eastAsia="Times New Roman" w:hAnsi="Times New Roman" w:cs="Times New Roman"/>
          <w:b/>
          <w:bCs/>
          <w:sz w:val="24"/>
          <w:szCs w:val="24"/>
          <w:lang w:eastAsia="fr-FR"/>
        </w:rPr>
        <w:t>QCM 3 :</w:t>
      </w:r>
      <w:r w:rsidRPr="00525F7A">
        <w:rPr>
          <w:rFonts w:ascii="Times New Roman" w:eastAsia="Times New Roman" w:hAnsi="Times New Roman" w:cs="Times New Roman"/>
          <w:sz w:val="24"/>
          <w:szCs w:val="24"/>
          <w:lang w:eastAsia="fr-FR"/>
        </w:rPr>
        <w:t xml:space="preserve"> A, B, C ✅</w:t>
      </w:r>
      <w:r w:rsidRPr="00525F7A">
        <w:rPr>
          <w:rFonts w:ascii="Times New Roman" w:eastAsia="Times New Roman" w:hAnsi="Times New Roman" w:cs="Times New Roman"/>
          <w:sz w:val="24"/>
          <w:szCs w:val="24"/>
          <w:lang w:eastAsia="fr-FR"/>
        </w:rPr>
        <w:br/>
      </w:r>
      <w:r w:rsidRPr="00525F7A">
        <w:rPr>
          <w:rFonts w:ascii="Times New Roman" w:eastAsia="Times New Roman" w:hAnsi="Times New Roman" w:cs="Times New Roman"/>
          <w:b/>
          <w:bCs/>
          <w:sz w:val="24"/>
          <w:szCs w:val="24"/>
          <w:lang w:eastAsia="fr-FR"/>
        </w:rPr>
        <w:t>Justification :</w:t>
      </w:r>
      <w:r w:rsidRPr="00525F7A">
        <w:rPr>
          <w:rFonts w:ascii="Times New Roman" w:eastAsia="Times New Roman" w:hAnsi="Times New Roman" w:cs="Times New Roman"/>
          <w:sz w:val="24"/>
          <w:szCs w:val="24"/>
          <w:lang w:eastAsia="fr-FR"/>
        </w:rPr>
        <w:t xml:space="preserve"> Odeurs légères (A), musique douce (B), et toucher (C) participent à l’expérience sensorielle. Les éléments trop marquants (D) détournent l’attention et ne sont pas recommandés.</w:t>
      </w:r>
    </w:p>
    <w:p w:rsidR="00B7091A" w:rsidRDefault="00B7091A"/>
    <w:sectPr w:rsidR="00B709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674"/>
    <w:multiLevelType w:val="multilevel"/>
    <w:tmpl w:val="3F54F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42034D1"/>
    <w:multiLevelType w:val="multilevel"/>
    <w:tmpl w:val="F6D6F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B7A4C96"/>
    <w:multiLevelType w:val="multilevel"/>
    <w:tmpl w:val="DA685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7057F9"/>
    <w:multiLevelType w:val="multilevel"/>
    <w:tmpl w:val="44A28B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F177B70"/>
    <w:multiLevelType w:val="multilevel"/>
    <w:tmpl w:val="7F64AD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0BE6235"/>
    <w:multiLevelType w:val="multilevel"/>
    <w:tmpl w:val="C89E0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2C0766"/>
    <w:multiLevelType w:val="multilevel"/>
    <w:tmpl w:val="E40AD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A4792D"/>
    <w:multiLevelType w:val="multilevel"/>
    <w:tmpl w:val="245EB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C00368D"/>
    <w:multiLevelType w:val="multilevel"/>
    <w:tmpl w:val="EA5453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1AC5E45"/>
    <w:multiLevelType w:val="multilevel"/>
    <w:tmpl w:val="A970A4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70A2D41"/>
    <w:multiLevelType w:val="multilevel"/>
    <w:tmpl w:val="A4B8A8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9D72BD9"/>
    <w:multiLevelType w:val="multilevel"/>
    <w:tmpl w:val="B57AA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D4D7745"/>
    <w:multiLevelType w:val="multilevel"/>
    <w:tmpl w:val="C7CEC8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E7603EE"/>
    <w:multiLevelType w:val="multilevel"/>
    <w:tmpl w:val="E6F02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0EB3142"/>
    <w:multiLevelType w:val="multilevel"/>
    <w:tmpl w:val="F2322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4330E64"/>
    <w:multiLevelType w:val="multilevel"/>
    <w:tmpl w:val="A5AAE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E5E1834"/>
    <w:multiLevelType w:val="multilevel"/>
    <w:tmpl w:val="65003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97037AD"/>
    <w:multiLevelType w:val="multilevel"/>
    <w:tmpl w:val="653AFA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9B3429F"/>
    <w:multiLevelType w:val="multilevel"/>
    <w:tmpl w:val="15863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30F5EF3"/>
    <w:multiLevelType w:val="multilevel"/>
    <w:tmpl w:val="96BC1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8"/>
  </w:num>
  <w:num w:numId="3">
    <w:abstractNumId w:val="16"/>
  </w:num>
  <w:num w:numId="4">
    <w:abstractNumId w:val="4"/>
  </w:num>
  <w:num w:numId="5">
    <w:abstractNumId w:val="11"/>
  </w:num>
  <w:num w:numId="6">
    <w:abstractNumId w:val="12"/>
  </w:num>
  <w:num w:numId="7">
    <w:abstractNumId w:val="13"/>
  </w:num>
  <w:num w:numId="8">
    <w:abstractNumId w:val="7"/>
  </w:num>
  <w:num w:numId="9">
    <w:abstractNumId w:val="18"/>
  </w:num>
  <w:num w:numId="10">
    <w:abstractNumId w:val="2"/>
  </w:num>
  <w:num w:numId="11">
    <w:abstractNumId w:val="17"/>
  </w:num>
  <w:num w:numId="12">
    <w:abstractNumId w:val="6"/>
  </w:num>
  <w:num w:numId="13">
    <w:abstractNumId w:val="9"/>
  </w:num>
  <w:num w:numId="14">
    <w:abstractNumId w:val="19"/>
  </w:num>
  <w:num w:numId="15">
    <w:abstractNumId w:val="14"/>
  </w:num>
  <w:num w:numId="16">
    <w:abstractNumId w:val="0"/>
  </w:num>
  <w:num w:numId="17">
    <w:abstractNumId w:val="5"/>
  </w:num>
  <w:num w:numId="18">
    <w:abstractNumId w:val="3"/>
  </w:num>
  <w:num w:numId="19">
    <w:abstractNumId w:val="10"/>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88C"/>
    <w:rsid w:val="00255EEA"/>
    <w:rsid w:val="00525F7A"/>
    <w:rsid w:val="005D6998"/>
    <w:rsid w:val="0068324C"/>
    <w:rsid w:val="00B7091A"/>
    <w:rsid w:val="00C43328"/>
    <w:rsid w:val="00E468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603234">
      <w:bodyDiv w:val="1"/>
      <w:marLeft w:val="0"/>
      <w:marRight w:val="0"/>
      <w:marTop w:val="0"/>
      <w:marBottom w:val="0"/>
      <w:divBdr>
        <w:top w:val="none" w:sz="0" w:space="0" w:color="auto"/>
        <w:left w:val="none" w:sz="0" w:space="0" w:color="auto"/>
        <w:bottom w:val="none" w:sz="0" w:space="0" w:color="auto"/>
        <w:right w:val="none" w:sz="0" w:space="0" w:color="auto"/>
      </w:divBdr>
    </w:div>
    <w:div w:id="692418553">
      <w:bodyDiv w:val="1"/>
      <w:marLeft w:val="0"/>
      <w:marRight w:val="0"/>
      <w:marTop w:val="0"/>
      <w:marBottom w:val="0"/>
      <w:divBdr>
        <w:top w:val="none" w:sz="0" w:space="0" w:color="auto"/>
        <w:left w:val="none" w:sz="0" w:space="0" w:color="auto"/>
        <w:bottom w:val="none" w:sz="0" w:space="0" w:color="auto"/>
        <w:right w:val="none" w:sz="0" w:space="0" w:color="auto"/>
      </w:divBdr>
    </w:div>
    <w:div w:id="712927437">
      <w:bodyDiv w:val="1"/>
      <w:marLeft w:val="0"/>
      <w:marRight w:val="0"/>
      <w:marTop w:val="0"/>
      <w:marBottom w:val="0"/>
      <w:divBdr>
        <w:top w:val="none" w:sz="0" w:space="0" w:color="auto"/>
        <w:left w:val="none" w:sz="0" w:space="0" w:color="auto"/>
        <w:bottom w:val="none" w:sz="0" w:space="0" w:color="auto"/>
        <w:right w:val="none" w:sz="0" w:space="0" w:color="auto"/>
      </w:divBdr>
    </w:div>
    <w:div w:id="131048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475</Words>
  <Characters>2615</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Arnaud Cinturel</dc:creator>
  <cp:lastModifiedBy>Arnaud Cinturel</cp:lastModifiedBy>
  <cp:revision>4</cp:revision>
  <dcterms:created xsi:type="dcterms:W3CDTF">2025-10-11T06:14:00Z</dcterms:created>
  <dcterms:modified xsi:type="dcterms:W3CDTF">2025-10-26T21:31:00Z</dcterms:modified>
</cp:coreProperties>
</file>